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EC2B" w14:textId="77777777" w:rsidR="003A267C" w:rsidRPr="003A267C" w:rsidRDefault="003A267C" w:rsidP="003A267C">
      <w:pPr>
        <w:pStyle w:val="Standard"/>
        <w:spacing w:after="0"/>
        <w:jc w:val="center"/>
        <w:rPr>
          <w:rStyle w:val="jsgrdq"/>
          <w:rFonts w:ascii="Verdana" w:hAnsi="Verdana"/>
          <w:color w:val="279097"/>
          <w:sz w:val="28"/>
          <w:szCs w:val="28"/>
        </w:rPr>
      </w:pPr>
      <w:r w:rsidRPr="003A267C">
        <w:rPr>
          <w:rStyle w:val="jsgrdq"/>
          <w:rFonts w:ascii="Verdana" w:hAnsi="Verdana"/>
          <w:color w:val="279097"/>
          <w:sz w:val="28"/>
          <w:szCs w:val="28"/>
        </w:rPr>
        <w:t>Le cabinet Dentaire du Dr               v</w:t>
      </w:r>
      <w:r w:rsidRPr="003A267C">
        <w:rPr>
          <w:rStyle w:val="jsgrdq"/>
          <w:rFonts w:ascii="Verdana" w:hAnsi="Verdana"/>
          <w:color w:val="279097"/>
          <w:sz w:val="24"/>
          <w:szCs w:val="24"/>
        </w:rPr>
        <w:t>ous informe</w:t>
      </w:r>
    </w:p>
    <w:p w14:paraId="101F2CA8" w14:textId="77777777" w:rsidR="003A267C" w:rsidRDefault="003A267C" w:rsidP="001A2EBD">
      <w:pPr>
        <w:pStyle w:val="Standard"/>
        <w:spacing w:after="0"/>
        <w:jc w:val="center"/>
        <w:rPr>
          <w:rStyle w:val="jsgrdq"/>
          <w:rFonts w:ascii="Verdana" w:hAnsi="Verdana" w:cs="Mangal"/>
          <w:b/>
          <w:color w:val="008C98"/>
          <w:sz w:val="24"/>
          <w:szCs w:val="24"/>
          <w:lang w:eastAsia="zh-CN" w:bidi="hi-IN"/>
        </w:rPr>
      </w:pPr>
    </w:p>
    <w:p w14:paraId="73364319" w14:textId="42F019EB" w:rsidR="00311302" w:rsidRDefault="00A961BF" w:rsidP="001A2EBD">
      <w:pPr>
        <w:pStyle w:val="Standard"/>
        <w:spacing w:after="0"/>
        <w:jc w:val="center"/>
        <w:rPr>
          <w:rStyle w:val="jsgrdq"/>
          <w:rFonts w:ascii="Verdana" w:hAnsi="Verdana" w:cs="Mangal"/>
          <w:b/>
          <w:color w:val="008C98"/>
          <w:sz w:val="24"/>
          <w:szCs w:val="24"/>
          <w:lang w:eastAsia="zh-CN" w:bidi="hi-IN"/>
        </w:rPr>
      </w:pPr>
      <w:r w:rsidRPr="00587316">
        <w:rPr>
          <w:rStyle w:val="jsgrdq"/>
          <w:rFonts w:ascii="Verdana" w:hAnsi="Verdana" w:cs="Mangal"/>
          <w:b/>
          <w:color w:val="008C98"/>
          <w:sz w:val="24"/>
          <w:szCs w:val="24"/>
          <w:lang w:eastAsia="zh-CN" w:bidi="hi-IN"/>
        </w:rPr>
        <w:t>Votre chirurgien-dentiste est conventionné</w:t>
      </w:r>
      <w:r w:rsidR="00431CF9">
        <w:rPr>
          <w:rStyle w:val="jsgrdq"/>
          <w:rFonts w:ascii="Verdana" w:hAnsi="Verdana" w:cs="Mangal"/>
          <w:b/>
          <w:color w:val="008C98"/>
          <w:sz w:val="24"/>
          <w:szCs w:val="24"/>
          <w:lang w:eastAsia="zh-CN" w:bidi="hi-IN"/>
        </w:rPr>
        <w:t>.</w:t>
      </w:r>
    </w:p>
    <w:p w14:paraId="4FE92183" w14:textId="77777777" w:rsidR="00431CF9" w:rsidRPr="0048121B" w:rsidRDefault="00431CF9" w:rsidP="00821F1A">
      <w:pPr>
        <w:pStyle w:val="Standard"/>
        <w:spacing w:after="0"/>
        <w:ind w:left="1418" w:firstLine="709"/>
        <w:jc w:val="center"/>
        <w:rPr>
          <w:rStyle w:val="jsgrdq"/>
          <w:rFonts w:ascii="Verdana" w:hAnsi="Verdana" w:cs="Mangal"/>
          <w:b/>
          <w:color w:val="008C98"/>
          <w:sz w:val="10"/>
          <w:szCs w:val="10"/>
          <w:lang w:eastAsia="zh-CN" w:bidi="hi-IN"/>
        </w:rPr>
      </w:pPr>
    </w:p>
    <w:p w14:paraId="03B8FF10" w14:textId="77777777" w:rsidR="00311302" w:rsidRPr="0048121B" w:rsidRDefault="00A961BF" w:rsidP="001A2EBD">
      <w:pPr>
        <w:pStyle w:val="Standard"/>
        <w:widowControl w:val="0"/>
        <w:spacing w:after="0"/>
        <w:ind w:right="57"/>
        <w:jc w:val="center"/>
        <w:rPr>
          <w:rStyle w:val="jsgrdq"/>
          <w:rFonts w:ascii="Verdana" w:hAnsi="Verdana" w:cs="Mangal"/>
          <w:b/>
          <w:i/>
          <w:iCs/>
          <w:color w:val="008C98"/>
          <w:sz w:val="20"/>
          <w:szCs w:val="20"/>
          <w:lang w:eastAsia="zh-CN" w:bidi="hi-IN"/>
        </w:rPr>
      </w:pPr>
      <w:r w:rsidRPr="0048121B">
        <w:rPr>
          <w:rStyle w:val="jsgrdq"/>
          <w:rFonts w:ascii="Verdana" w:hAnsi="Verdana" w:cs="Mangal"/>
          <w:b/>
          <w:i/>
          <w:iCs/>
          <w:color w:val="008C98"/>
          <w:sz w:val="20"/>
          <w:szCs w:val="20"/>
          <w:lang w:eastAsia="zh-CN" w:bidi="hi-IN"/>
        </w:rPr>
        <w:t>Il pratique des honoraires conformes aux tarifs de la sécurité sociale.</w:t>
      </w:r>
    </w:p>
    <w:p w14:paraId="3C3BFE0F" w14:textId="77777777" w:rsidR="00B94B33" w:rsidRPr="00D128BB" w:rsidRDefault="00B94B33" w:rsidP="00B94B33">
      <w:pPr>
        <w:pStyle w:val="Standard"/>
        <w:spacing w:after="0"/>
        <w:ind w:left="24" w:right="-12"/>
        <w:rPr>
          <w:rStyle w:val="jsgrdq"/>
          <w:rFonts w:ascii="Verdana" w:hAnsi="Verdana" w:cs="Mangal"/>
          <w:b/>
          <w:color w:val="008C98"/>
          <w:sz w:val="12"/>
          <w:szCs w:val="12"/>
          <w:lang w:eastAsia="zh-CN" w:bidi="hi-IN"/>
        </w:rPr>
      </w:pPr>
    </w:p>
    <w:p w14:paraId="648E632F" w14:textId="4DB49A74" w:rsidR="00311302" w:rsidRPr="00D128BB" w:rsidRDefault="00A961BF" w:rsidP="00B94B33">
      <w:pPr>
        <w:pStyle w:val="TableParagraph"/>
        <w:ind w:left="115"/>
        <w:rPr>
          <w:rFonts w:ascii="Verdana" w:hAnsi="Verdana"/>
          <w:color w:val="5F5F5E"/>
          <w:sz w:val="22"/>
          <w:szCs w:val="22"/>
        </w:rPr>
      </w:pPr>
      <w:r w:rsidRPr="00D128BB">
        <w:rPr>
          <w:rFonts w:ascii="Verdana" w:hAnsi="Verdana"/>
          <w:color w:val="5F5F5E"/>
          <w:sz w:val="22"/>
          <w:szCs w:val="22"/>
        </w:rPr>
        <w:t xml:space="preserve">Le montant </w:t>
      </w:r>
      <w:r w:rsidR="0048121B">
        <w:rPr>
          <w:rFonts w:ascii="Verdana" w:hAnsi="Verdana"/>
          <w:color w:val="5F5F5E"/>
          <w:sz w:val="22"/>
          <w:szCs w:val="22"/>
        </w:rPr>
        <w:t xml:space="preserve">des Honoraires </w:t>
      </w:r>
      <w:r w:rsidRPr="00D128BB">
        <w:rPr>
          <w:rFonts w:ascii="Verdana" w:hAnsi="Verdana"/>
          <w:color w:val="5F5F5E"/>
          <w:sz w:val="22"/>
          <w:szCs w:val="22"/>
        </w:rPr>
        <w:t>doit être déterminé avec tact et mesure.</w:t>
      </w:r>
    </w:p>
    <w:p w14:paraId="457FE4D4" w14:textId="77777777" w:rsidR="00B94B33" w:rsidRPr="00D128BB" w:rsidRDefault="00B94B33" w:rsidP="00B94B33">
      <w:pPr>
        <w:pStyle w:val="TableParagraph"/>
        <w:ind w:left="115"/>
        <w:rPr>
          <w:rFonts w:ascii="Verdana" w:hAnsi="Verdana"/>
          <w:color w:val="5F5F5E"/>
          <w:sz w:val="14"/>
          <w:szCs w:val="14"/>
        </w:rPr>
      </w:pPr>
    </w:p>
    <w:p w14:paraId="567A824A" w14:textId="6E62AD18" w:rsidR="00311302" w:rsidRDefault="00A961BF" w:rsidP="00D128BB">
      <w:pPr>
        <w:pStyle w:val="TableParagraph"/>
        <w:numPr>
          <w:ilvl w:val="0"/>
          <w:numId w:val="22"/>
        </w:numPr>
        <w:jc w:val="both"/>
        <w:rPr>
          <w:rFonts w:ascii="Verdana" w:hAnsi="Verdana"/>
          <w:color w:val="5F5F5E"/>
          <w:sz w:val="20"/>
          <w:szCs w:val="20"/>
        </w:rPr>
      </w:pPr>
      <w:r w:rsidRPr="00B94B33">
        <w:rPr>
          <w:rFonts w:ascii="Verdana" w:hAnsi="Verdana"/>
          <w:color w:val="5F5F5E"/>
          <w:sz w:val="20"/>
          <w:szCs w:val="20"/>
        </w:rPr>
        <w:t xml:space="preserve">Les tarifs de la sécurité sociale ne peuvent être dépassés, sauf en cas d'exigence exceptionnelle de votre part concernant l'horaire ou le lieu des actes pratiqués, ou en cas de </w:t>
      </w:r>
      <w:r w:rsidR="00B94B33" w:rsidRPr="00B94B33">
        <w:rPr>
          <w:rFonts w:ascii="Verdana" w:hAnsi="Verdana"/>
          <w:color w:val="5F5F5E"/>
          <w:sz w:val="20"/>
          <w:szCs w:val="20"/>
        </w:rPr>
        <w:t>non-respect</w:t>
      </w:r>
      <w:r w:rsidRPr="00B94B33">
        <w:rPr>
          <w:rFonts w:ascii="Verdana" w:hAnsi="Verdana"/>
          <w:color w:val="5F5F5E"/>
          <w:sz w:val="20"/>
          <w:szCs w:val="20"/>
        </w:rPr>
        <w:t xml:space="preserve"> du parcours de soins.</w:t>
      </w:r>
    </w:p>
    <w:p w14:paraId="5A9764CF" w14:textId="77777777" w:rsidR="00D128BB" w:rsidRPr="00D128BB" w:rsidRDefault="00D128BB" w:rsidP="00D128BB">
      <w:pPr>
        <w:pStyle w:val="TableParagraph"/>
        <w:ind w:left="113"/>
        <w:jc w:val="both"/>
        <w:rPr>
          <w:rFonts w:ascii="Verdana" w:hAnsi="Verdana"/>
          <w:color w:val="5F5F5E"/>
          <w:sz w:val="8"/>
          <w:szCs w:val="8"/>
        </w:rPr>
      </w:pPr>
    </w:p>
    <w:p w14:paraId="34E53297" w14:textId="5AB50A8D" w:rsidR="00311302" w:rsidRPr="00B94B33" w:rsidRDefault="00A961BF" w:rsidP="00D128BB">
      <w:pPr>
        <w:pStyle w:val="TableParagraph"/>
        <w:numPr>
          <w:ilvl w:val="0"/>
          <w:numId w:val="22"/>
        </w:numPr>
        <w:jc w:val="both"/>
        <w:rPr>
          <w:rFonts w:ascii="Verdana" w:hAnsi="Verdana"/>
          <w:color w:val="5F5F5E"/>
          <w:sz w:val="20"/>
          <w:szCs w:val="20"/>
        </w:rPr>
      </w:pPr>
      <w:r w:rsidRPr="00B94B33">
        <w:rPr>
          <w:rFonts w:ascii="Verdana" w:hAnsi="Verdana"/>
          <w:color w:val="5F5F5E"/>
          <w:sz w:val="20"/>
          <w:szCs w:val="20"/>
        </w:rPr>
        <w:t>Dans les limites fixés par la Convention nationale des chirurgiens-dentistes, pour certains traitements, votre chirurgien-dentiste peut pratiquer des honoraires libres qui peuvent être supérieurs aux tarifs de remboursement par l’assurance maladie : Ils sont fixés conformément aux éléments d’appréciation prévus à l’article R. 4127-240 du Code de la santé publique, à savoir, en plus de l'importance et de la difficulté des soins, la situation matérielle du patient, la notoriété du praticien et les circonstances particulières.</w:t>
      </w:r>
    </w:p>
    <w:p w14:paraId="5060CA9C" w14:textId="77777777" w:rsidR="00D128BB" w:rsidRPr="00D128BB" w:rsidRDefault="00D128BB" w:rsidP="00D128BB">
      <w:pPr>
        <w:pStyle w:val="TableParagraph"/>
        <w:ind w:left="113"/>
        <w:jc w:val="both"/>
        <w:rPr>
          <w:rFonts w:ascii="Verdana" w:hAnsi="Verdana"/>
          <w:color w:val="5F5F5E"/>
          <w:sz w:val="8"/>
          <w:szCs w:val="8"/>
        </w:rPr>
      </w:pPr>
    </w:p>
    <w:p w14:paraId="57D29F4C" w14:textId="207C01E1" w:rsidR="00311302" w:rsidRPr="00B94B33" w:rsidRDefault="00A961BF" w:rsidP="00D128BB">
      <w:pPr>
        <w:pStyle w:val="TableParagraph"/>
        <w:numPr>
          <w:ilvl w:val="0"/>
          <w:numId w:val="22"/>
        </w:numPr>
        <w:jc w:val="both"/>
        <w:rPr>
          <w:rFonts w:ascii="Verdana" w:hAnsi="Verdana"/>
          <w:color w:val="5F5F5E"/>
          <w:sz w:val="20"/>
          <w:szCs w:val="20"/>
        </w:rPr>
      </w:pPr>
      <w:r w:rsidRPr="00B94B33">
        <w:rPr>
          <w:rFonts w:ascii="Verdana" w:hAnsi="Verdana"/>
          <w:color w:val="5F5F5E"/>
          <w:sz w:val="20"/>
          <w:szCs w:val="20"/>
        </w:rPr>
        <w:t>La facturation de dépassements d'honoraires est par ailleurs interdite pour les bénéficiaires de la couverture maladie universelle complémentaire (CMU-C), et de l'aide au paiement d'une complémentaire santé (ACS).</w:t>
      </w:r>
    </w:p>
    <w:p w14:paraId="4E60D068" w14:textId="77777777" w:rsidR="00D128BB" w:rsidRPr="00D128BB" w:rsidRDefault="00D128BB" w:rsidP="00D128BB">
      <w:pPr>
        <w:pStyle w:val="TableParagraph"/>
        <w:ind w:left="113"/>
        <w:jc w:val="both"/>
        <w:rPr>
          <w:rFonts w:ascii="Verdana" w:hAnsi="Verdana"/>
          <w:color w:val="5F5F5E"/>
          <w:sz w:val="8"/>
          <w:szCs w:val="8"/>
        </w:rPr>
      </w:pPr>
    </w:p>
    <w:p w14:paraId="46361BA6" w14:textId="075B232B" w:rsidR="00311302" w:rsidRDefault="00A961BF" w:rsidP="00D128BB">
      <w:pPr>
        <w:pStyle w:val="TableParagraph"/>
        <w:numPr>
          <w:ilvl w:val="0"/>
          <w:numId w:val="22"/>
        </w:numPr>
        <w:jc w:val="both"/>
        <w:rPr>
          <w:rFonts w:ascii="Verdana" w:hAnsi="Verdana"/>
          <w:color w:val="5F5F5E"/>
          <w:sz w:val="20"/>
          <w:szCs w:val="20"/>
        </w:rPr>
      </w:pPr>
      <w:r w:rsidRPr="00B94B33">
        <w:rPr>
          <w:rFonts w:ascii="Verdana" w:hAnsi="Verdana"/>
          <w:color w:val="5F5F5E"/>
          <w:sz w:val="20"/>
          <w:szCs w:val="20"/>
        </w:rPr>
        <w:t xml:space="preserve">Votre professionnel de santé </w:t>
      </w:r>
      <w:proofErr w:type="gramStart"/>
      <w:r w:rsidRPr="00B94B33">
        <w:rPr>
          <w:rFonts w:ascii="Verdana" w:hAnsi="Verdana"/>
          <w:color w:val="5F5F5E"/>
          <w:sz w:val="20"/>
          <w:szCs w:val="20"/>
        </w:rPr>
        <w:t>doit  vous</w:t>
      </w:r>
      <w:proofErr w:type="gramEnd"/>
      <w:r w:rsidRPr="00B94B33">
        <w:rPr>
          <w:rFonts w:ascii="Verdana" w:hAnsi="Verdana"/>
          <w:color w:val="5F5F5E"/>
          <w:sz w:val="20"/>
          <w:szCs w:val="20"/>
        </w:rPr>
        <w:t xml:space="preserve"> informer avant de réaliser un acte non remboursé par la sécurité sociale.</w:t>
      </w:r>
    </w:p>
    <w:p w14:paraId="24CF7E82" w14:textId="77777777" w:rsidR="004119E1" w:rsidRPr="00D128BB" w:rsidRDefault="004119E1" w:rsidP="00B94B33">
      <w:pPr>
        <w:pStyle w:val="TableParagraph"/>
        <w:ind w:left="113"/>
        <w:rPr>
          <w:rFonts w:ascii="Verdana" w:hAnsi="Verdana"/>
          <w:color w:val="5F5F5E"/>
          <w:sz w:val="16"/>
          <w:szCs w:val="16"/>
        </w:rPr>
      </w:pPr>
    </w:p>
    <w:p w14:paraId="335C1B14" w14:textId="0A4E0CF5" w:rsidR="00D128BB" w:rsidRPr="00A924E6" w:rsidRDefault="00A961BF" w:rsidP="00A924E6">
      <w:pPr>
        <w:pStyle w:val="TableParagraph"/>
        <w:ind w:left="113"/>
        <w:jc w:val="both"/>
        <w:rPr>
          <w:rFonts w:ascii="Verdana" w:hAnsi="Verdana"/>
          <w:b/>
          <w:i/>
          <w:iCs/>
          <w:color w:val="008582"/>
          <w:sz w:val="20"/>
          <w:szCs w:val="20"/>
        </w:rPr>
      </w:pPr>
      <w:r w:rsidRPr="00F317F1">
        <w:rPr>
          <w:rFonts w:ascii="Verdana" w:hAnsi="Verdana"/>
          <w:b/>
          <w:i/>
          <w:iCs/>
          <w:color w:val="008582"/>
          <w:sz w:val="20"/>
          <w:szCs w:val="20"/>
        </w:rPr>
        <w:t>ATTENTION</w:t>
      </w:r>
      <w:r w:rsidR="00A924E6">
        <w:rPr>
          <w:rFonts w:ascii="Verdana" w:hAnsi="Verdana"/>
          <w:b/>
          <w:i/>
          <w:iCs/>
          <w:color w:val="008582"/>
          <w:sz w:val="20"/>
          <w:szCs w:val="20"/>
        </w:rPr>
        <w:t xml:space="preserve">. </w:t>
      </w:r>
      <w:r w:rsidRPr="00D128BB">
        <w:rPr>
          <w:rFonts w:ascii="Verdana" w:hAnsi="Verdana"/>
          <w:color w:val="5F5F5E"/>
          <w:sz w:val="20"/>
          <w:szCs w:val="20"/>
        </w:rPr>
        <w:t>Dès lors que les dépassements d'honoraires des actes et prestations facturés atteignent 70 euros, votre professionnel doit vous en informer par écrit, préalablement à la réalisation de la prestation en établissant un devis</w:t>
      </w:r>
      <w:r w:rsidR="00D128BB">
        <w:rPr>
          <w:rFonts w:ascii="Verdana" w:hAnsi="Verdana"/>
          <w:color w:val="5F5F5E"/>
          <w:sz w:val="20"/>
          <w:szCs w:val="20"/>
        </w:rPr>
        <w:t>.</w:t>
      </w:r>
    </w:p>
    <w:p w14:paraId="1757E813" w14:textId="77777777" w:rsidR="00D128BB" w:rsidRPr="00D128BB" w:rsidRDefault="00D128BB" w:rsidP="00A924E6">
      <w:pPr>
        <w:pStyle w:val="TableParagraph"/>
        <w:ind w:left="113"/>
        <w:jc w:val="both"/>
        <w:rPr>
          <w:rFonts w:ascii="Verdana" w:hAnsi="Verdana"/>
          <w:color w:val="5F5F5E"/>
          <w:sz w:val="8"/>
          <w:szCs w:val="8"/>
        </w:rPr>
      </w:pPr>
    </w:p>
    <w:p w14:paraId="5C1F4BC2" w14:textId="37AA3249" w:rsidR="00D128BB" w:rsidRPr="00D128BB" w:rsidRDefault="00A961BF" w:rsidP="00A924E6">
      <w:pPr>
        <w:pStyle w:val="TableParagraph"/>
        <w:ind w:left="113"/>
        <w:jc w:val="both"/>
        <w:rPr>
          <w:rFonts w:ascii="Verdana" w:hAnsi="Verdana"/>
          <w:color w:val="5F5F5E"/>
          <w:sz w:val="20"/>
          <w:szCs w:val="20"/>
        </w:rPr>
      </w:pPr>
      <w:r w:rsidRPr="00D128BB">
        <w:rPr>
          <w:rFonts w:ascii="Verdana" w:hAnsi="Verdana"/>
          <w:color w:val="5F5F5E"/>
          <w:sz w:val="20"/>
          <w:szCs w:val="20"/>
        </w:rPr>
        <w:t xml:space="preserve">Seuls peuvent vous être facturés </w:t>
      </w:r>
      <w:proofErr w:type="gramStart"/>
      <w:r w:rsidRPr="00D128BB">
        <w:rPr>
          <w:rFonts w:ascii="Verdana" w:hAnsi="Verdana"/>
          <w:color w:val="5F5F5E"/>
          <w:sz w:val="20"/>
          <w:szCs w:val="20"/>
        </w:rPr>
        <w:t>des frais correspondant</w:t>
      </w:r>
      <w:proofErr w:type="gramEnd"/>
      <w:r w:rsidRPr="00D128BB">
        <w:rPr>
          <w:rFonts w:ascii="Verdana" w:hAnsi="Verdana"/>
          <w:color w:val="5F5F5E"/>
          <w:sz w:val="20"/>
          <w:szCs w:val="20"/>
        </w:rPr>
        <w:t xml:space="preserve"> à une prestation de soins rendue.</w:t>
      </w:r>
    </w:p>
    <w:p w14:paraId="2FD9B282" w14:textId="42A20179" w:rsidR="004119E1" w:rsidRPr="00D128BB" w:rsidRDefault="00A961BF" w:rsidP="00A924E6">
      <w:pPr>
        <w:pStyle w:val="TableParagraph"/>
        <w:ind w:left="113"/>
        <w:jc w:val="both"/>
        <w:rPr>
          <w:rFonts w:ascii="Verdana" w:hAnsi="Verdana"/>
          <w:color w:val="5F5F5E"/>
          <w:sz w:val="20"/>
          <w:szCs w:val="20"/>
        </w:rPr>
      </w:pPr>
      <w:r w:rsidRPr="00D128BB">
        <w:rPr>
          <w:rFonts w:ascii="Verdana" w:hAnsi="Verdana"/>
          <w:color w:val="5F5F5E"/>
          <w:sz w:val="20"/>
          <w:szCs w:val="20"/>
        </w:rPr>
        <w:t xml:space="preserve">Le paiement d’une prestation qui ne correspond pas directement à une prestation de soins ne peut </w:t>
      </w:r>
      <w:proofErr w:type="gramStart"/>
      <w:r w:rsidRPr="00D128BB">
        <w:rPr>
          <w:rFonts w:ascii="Verdana" w:hAnsi="Verdana"/>
          <w:color w:val="5F5F5E"/>
          <w:sz w:val="20"/>
          <w:szCs w:val="20"/>
        </w:rPr>
        <w:t xml:space="preserve">vous </w:t>
      </w:r>
      <w:r w:rsidR="00641974" w:rsidRPr="00D128BB">
        <w:rPr>
          <w:rFonts w:ascii="Verdana" w:hAnsi="Verdana"/>
          <w:color w:val="5F5F5E"/>
          <w:sz w:val="20"/>
          <w:szCs w:val="20"/>
        </w:rPr>
        <w:t xml:space="preserve"> </w:t>
      </w:r>
      <w:r w:rsidRPr="00D128BB">
        <w:rPr>
          <w:rFonts w:ascii="Verdana" w:hAnsi="Verdana"/>
          <w:color w:val="5F5F5E"/>
          <w:sz w:val="20"/>
          <w:szCs w:val="20"/>
        </w:rPr>
        <w:t>être</w:t>
      </w:r>
      <w:proofErr w:type="gramEnd"/>
      <w:r w:rsidRPr="00D128BB">
        <w:rPr>
          <w:rFonts w:ascii="Verdana" w:hAnsi="Verdana"/>
          <w:color w:val="5F5F5E"/>
          <w:sz w:val="20"/>
          <w:szCs w:val="20"/>
        </w:rPr>
        <w:t xml:space="preserve"> imposé.</w:t>
      </w:r>
    </w:p>
    <w:p w14:paraId="4DA1FB8B" w14:textId="77777777" w:rsidR="00760FE5" w:rsidRPr="00D128BB" w:rsidRDefault="00760FE5" w:rsidP="00641974">
      <w:pPr>
        <w:pStyle w:val="TableParagraph"/>
        <w:jc w:val="both"/>
        <w:rPr>
          <w:rFonts w:ascii="Verdana" w:hAnsi="Verdana"/>
          <w:color w:val="5F5F5E"/>
          <w:sz w:val="14"/>
          <w:szCs w:val="14"/>
        </w:rPr>
      </w:pPr>
    </w:p>
    <w:tbl>
      <w:tblPr>
        <w:tblW w:w="1042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6"/>
        <w:gridCol w:w="3949"/>
        <w:gridCol w:w="2394"/>
      </w:tblGrid>
      <w:tr w:rsidR="00311302" w14:paraId="7A4DD83B" w14:textId="77777777" w:rsidTr="00641974">
        <w:trPr>
          <w:jc w:val="right"/>
        </w:trPr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BE6ED" w14:textId="77777777" w:rsidR="00311302" w:rsidRDefault="00311302">
            <w:pPr>
              <w:pStyle w:val="TableContents"/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ED5C" w14:textId="77777777" w:rsidR="00311302" w:rsidRDefault="00A961BF">
            <w:pPr>
              <w:pStyle w:val="Standard"/>
              <w:ind w:right="-14"/>
              <w:jc w:val="center"/>
            </w:pPr>
            <w:r>
              <w:rPr>
                <w:rStyle w:val="jsgrdq"/>
                <w:rFonts w:ascii="Verdana" w:hAnsi="Verdana"/>
                <w:b/>
                <w:bCs/>
                <w:color w:val="FFFFFF"/>
                <w:sz w:val="16"/>
                <w:szCs w:val="16"/>
              </w:rPr>
              <w:t>Tarifs des honoraires ou fourchettes des tarifs des honoraires pratiqués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CC567" w14:textId="77777777" w:rsidR="00311302" w:rsidRDefault="00A961BF">
            <w:pPr>
              <w:pStyle w:val="Standard"/>
              <w:ind w:right="14"/>
              <w:jc w:val="center"/>
            </w:pPr>
            <w:r>
              <w:rPr>
                <w:rStyle w:val="jsgrdq"/>
                <w:rFonts w:ascii="Verdana" w:hAnsi="Verdana"/>
                <w:b/>
                <w:bCs/>
                <w:color w:val="FFFFFF"/>
                <w:sz w:val="18"/>
                <w:szCs w:val="18"/>
              </w:rPr>
              <w:t>Base de remboursement</w:t>
            </w:r>
          </w:p>
        </w:tc>
      </w:tr>
      <w:tr w:rsidR="00311302" w14:paraId="2143BF83" w14:textId="77777777" w:rsidTr="00641974">
        <w:trPr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4B25" w14:textId="77777777" w:rsidR="00311302" w:rsidRPr="00641974" w:rsidRDefault="00A961BF" w:rsidP="004119E1">
            <w:pPr>
              <w:pStyle w:val="Standard"/>
              <w:widowControl w:val="0"/>
              <w:spacing w:after="0"/>
              <w:ind w:right="57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641974">
              <w:rPr>
                <w:rStyle w:val="jsgrdq"/>
                <w:rFonts w:ascii="Verdana" w:hAnsi="Verdana" w:cs="Mangal"/>
                <w:b/>
                <w:color w:val="FFFFFF" w:themeColor="background1"/>
                <w:sz w:val="16"/>
                <w:szCs w:val="16"/>
                <w:lang w:eastAsia="zh-CN" w:bidi="hi-IN"/>
              </w:rPr>
              <w:t>Consultation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79B8" w14:textId="77777777" w:rsidR="00311302" w:rsidRDefault="00311302">
            <w:pPr>
              <w:pStyle w:val="TableContents"/>
              <w:rPr>
                <w:b/>
                <w:bCs/>
                <w:color w:val="FFFFFF"/>
              </w:rPr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27949" w14:textId="77777777" w:rsidR="00311302" w:rsidRDefault="00311302">
            <w:pPr>
              <w:pStyle w:val="TableContents"/>
              <w:rPr>
                <w:color w:val="FFFFFF"/>
              </w:rPr>
            </w:pPr>
          </w:p>
        </w:tc>
      </w:tr>
      <w:tr w:rsidR="00311302" w14:paraId="796C78CD" w14:textId="77777777" w:rsidTr="00641974">
        <w:trPr>
          <w:jc w:val="right"/>
        </w:trPr>
        <w:tc>
          <w:tcPr>
            <w:tcW w:w="803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6BDD6" w14:textId="77777777" w:rsidR="00311302" w:rsidRDefault="00A961BF" w:rsidP="00641974">
            <w:pPr>
              <w:pStyle w:val="Standard"/>
            </w:pPr>
            <w:r>
              <w:rPr>
                <w:rStyle w:val="jsgrdq"/>
                <w:rFonts w:ascii="Verdana" w:hAnsi="Verdana"/>
                <w:b/>
                <w:bCs/>
                <w:color w:val="FFFFFF"/>
                <w:sz w:val="16"/>
                <w:szCs w:val="16"/>
              </w:rPr>
              <w:t>Prestations de soins conservateurs, chirurgicaux et de prévention les plus pratiqués</w:t>
            </w: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D8BE3" w14:textId="77777777" w:rsidR="00311302" w:rsidRDefault="00311302">
            <w:pPr>
              <w:pStyle w:val="TableContents"/>
              <w:rPr>
                <w:color w:val="FFFFFF"/>
              </w:rPr>
            </w:pPr>
          </w:p>
        </w:tc>
      </w:tr>
      <w:tr w:rsidR="00311302" w14:paraId="6AF207B0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3B8B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1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3310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3D869" w14:textId="77777777" w:rsidR="00311302" w:rsidRDefault="00311302">
            <w:pPr>
              <w:pStyle w:val="TableContents"/>
            </w:pPr>
          </w:p>
        </w:tc>
      </w:tr>
      <w:tr w:rsidR="00311302" w14:paraId="60D84637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DD915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2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D512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D03B" w14:textId="77777777" w:rsidR="00311302" w:rsidRDefault="00311302">
            <w:pPr>
              <w:pStyle w:val="TableContents"/>
            </w:pPr>
          </w:p>
        </w:tc>
      </w:tr>
      <w:tr w:rsidR="00311302" w14:paraId="445C4933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AA390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3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1C79F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3DF5A" w14:textId="77777777" w:rsidR="00311302" w:rsidRDefault="00311302">
            <w:pPr>
              <w:pStyle w:val="TableContents"/>
            </w:pPr>
          </w:p>
        </w:tc>
      </w:tr>
      <w:tr w:rsidR="00311302" w14:paraId="4068201B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10AA3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4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1D247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CB713" w14:textId="77777777" w:rsidR="00311302" w:rsidRDefault="00311302">
            <w:pPr>
              <w:pStyle w:val="TableContents"/>
            </w:pPr>
          </w:p>
        </w:tc>
      </w:tr>
      <w:tr w:rsidR="00311302" w14:paraId="5032DB87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47B3B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5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74F4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B8B7C" w14:textId="77777777" w:rsidR="00311302" w:rsidRDefault="00311302">
            <w:pPr>
              <w:pStyle w:val="TableContents"/>
            </w:pPr>
          </w:p>
        </w:tc>
      </w:tr>
      <w:tr w:rsidR="00311302" w14:paraId="3F15775B" w14:textId="77777777" w:rsidTr="00641974">
        <w:trPr>
          <w:jc w:val="right"/>
        </w:trPr>
        <w:tc>
          <w:tcPr>
            <w:tcW w:w="803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AED2" w14:textId="77777777" w:rsidR="00311302" w:rsidRDefault="00A961BF">
            <w:pPr>
              <w:pStyle w:val="Standard"/>
              <w:ind w:left="86" w:right="29"/>
            </w:pPr>
            <w:r>
              <w:rPr>
                <w:rStyle w:val="jsgrdq"/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Traitements prothétiques et d’orthopédie dento-faciale les </w:t>
            </w:r>
            <w:proofErr w:type="gramStart"/>
            <w:r>
              <w:rPr>
                <w:rStyle w:val="jsgrdq"/>
                <w:rFonts w:ascii="Verdana" w:hAnsi="Verdana"/>
                <w:b/>
                <w:bCs/>
                <w:color w:val="FFFFFF"/>
                <w:sz w:val="16"/>
                <w:szCs w:val="16"/>
              </w:rPr>
              <w:t>plus  pratiqués</w:t>
            </w:r>
            <w:proofErr w:type="gramEnd"/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58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93E4" w14:textId="77777777" w:rsidR="00311302" w:rsidRDefault="00311302">
            <w:pPr>
              <w:pStyle w:val="TableContents"/>
              <w:rPr>
                <w:b/>
                <w:bCs/>
                <w:color w:val="FFFFFF"/>
              </w:rPr>
            </w:pPr>
          </w:p>
        </w:tc>
      </w:tr>
      <w:tr w:rsidR="00311302" w14:paraId="1C063FDE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BC9E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1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0DC15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7CD93" w14:textId="77777777" w:rsidR="00311302" w:rsidRDefault="00311302">
            <w:pPr>
              <w:pStyle w:val="TableContents"/>
            </w:pPr>
          </w:p>
        </w:tc>
      </w:tr>
      <w:tr w:rsidR="00311302" w14:paraId="296ACB6E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CFBB8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2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1940A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2771" w14:textId="77777777" w:rsidR="00311302" w:rsidRDefault="00311302">
            <w:pPr>
              <w:pStyle w:val="TableContents"/>
            </w:pPr>
          </w:p>
        </w:tc>
      </w:tr>
      <w:tr w:rsidR="00311302" w14:paraId="4BFFE815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0957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3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01EF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0F18F" w14:textId="77777777" w:rsidR="00311302" w:rsidRDefault="00311302">
            <w:pPr>
              <w:pStyle w:val="TableContents"/>
            </w:pPr>
          </w:p>
        </w:tc>
      </w:tr>
      <w:tr w:rsidR="00311302" w14:paraId="78C9676E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749DE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4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99422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47E98" w14:textId="77777777" w:rsidR="00311302" w:rsidRDefault="00311302">
            <w:pPr>
              <w:pStyle w:val="TableContents"/>
            </w:pPr>
          </w:p>
        </w:tc>
      </w:tr>
      <w:tr w:rsidR="00311302" w14:paraId="08CDB1D3" w14:textId="77777777">
        <w:trPr>
          <w:trHeight w:hRule="exact" w:val="283"/>
          <w:jc w:val="right"/>
        </w:trPr>
        <w:tc>
          <w:tcPr>
            <w:tcW w:w="408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1F27A" w14:textId="77777777" w:rsidR="00311302" w:rsidRPr="00641974" w:rsidRDefault="00A961BF">
            <w:pPr>
              <w:pStyle w:val="Standard"/>
              <w:ind w:left="24" w:right="685"/>
              <w:rPr>
                <w:rFonts w:eastAsia="Tahoma"/>
                <w:color w:val="5F5F5E"/>
              </w:rPr>
            </w:pPr>
            <w:r w:rsidRPr="00641974">
              <w:rPr>
                <w:rFonts w:eastAsia="Tahoma"/>
                <w:color w:val="5F5F5E"/>
              </w:rPr>
              <w:t>Acte 5</w:t>
            </w:r>
          </w:p>
        </w:tc>
        <w:tc>
          <w:tcPr>
            <w:tcW w:w="394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0148D" w14:textId="77777777" w:rsidR="00311302" w:rsidRDefault="00311302">
            <w:pPr>
              <w:pStyle w:val="TableContents"/>
            </w:pPr>
          </w:p>
        </w:tc>
        <w:tc>
          <w:tcPr>
            <w:tcW w:w="2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14414" w14:textId="77777777" w:rsidR="00311302" w:rsidRDefault="00311302">
            <w:pPr>
              <w:pStyle w:val="TableContents"/>
            </w:pPr>
          </w:p>
        </w:tc>
      </w:tr>
    </w:tbl>
    <w:p w14:paraId="562B972F" w14:textId="77777777" w:rsidR="00760FE5" w:rsidRPr="00D128BB" w:rsidRDefault="00A961BF" w:rsidP="00760FE5">
      <w:pPr>
        <w:pStyle w:val="Standard"/>
        <w:ind w:left="24"/>
        <w:rPr>
          <w:rStyle w:val="jsgrdq"/>
          <w:rFonts w:ascii="Verdana" w:hAnsi="Verdana"/>
          <w:b/>
          <w:bCs/>
          <w:color w:val="279097"/>
          <w:sz w:val="6"/>
          <w:szCs w:val="6"/>
        </w:rPr>
      </w:pPr>
      <w:r>
        <w:rPr>
          <w:rStyle w:val="jsgrdq"/>
          <w:rFonts w:ascii="Verdana" w:hAnsi="Verdana"/>
          <w:b/>
          <w:bCs/>
          <w:color w:val="279097"/>
          <w:sz w:val="16"/>
          <w:szCs w:val="16"/>
        </w:rPr>
        <w:t xml:space="preserve"> </w:t>
      </w:r>
    </w:p>
    <w:p w14:paraId="6153D45E" w14:textId="5D4FB873" w:rsidR="00311302" w:rsidRDefault="00A961BF" w:rsidP="00760FE5">
      <w:pPr>
        <w:pStyle w:val="Standard"/>
        <w:ind w:left="24"/>
        <w:rPr>
          <w:rFonts w:ascii="Verdana" w:eastAsia="Tahoma" w:hAnsi="Verdana"/>
          <w:color w:val="5F5F5E"/>
          <w:sz w:val="18"/>
          <w:szCs w:val="18"/>
        </w:rPr>
      </w:pPr>
      <w:r>
        <w:rPr>
          <w:rStyle w:val="jsgrdq"/>
          <w:rFonts w:ascii="Verdana" w:hAnsi="Verdana"/>
          <w:b/>
          <w:bCs/>
          <w:color w:val="279097"/>
          <w:sz w:val="16"/>
          <w:szCs w:val="16"/>
        </w:rPr>
        <w:t xml:space="preserve">   </w:t>
      </w:r>
      <w:r w:rsidRPr="00641974">
        <w:rPr>
          <w:rFonts w:ascii="Verdana" w:eastAsia="Tahoma" w:hAnsi="Verdana"/>
          <w:color w:val="5F5F5E"/>
          <w:sz w:val="18"/>
          <w:szCs w:val="18"/>
        </w:rPr>
        <w:t>Pour toute information complémentaire, nous vous invitons à consulter l’annuaire santé du site www.ameli.fr</w:t>
      </w:r>
    </w:p>
    <w:p w14:paraId="56640DAF" w14:textId="576DE0B8" w:rsidR="00424F80" w:rsidRPr="00424F80" w:rsidRDefault="00424F80" w:rsidP="00424F80"/>
    <w:p w14:paraId="2D52CD22" w14:textId="77777777" w:rsidR="00424F80" w:rsidRPr="00424F80" w:rsidRDefault="00424F80" w:rsidP="00424F80">
      <w:pPr>
        <w:jc w:val="right"/>
      </w:pPr>
    </w:p>
    <w:sectPr w:rsidR="00424F80" w:rsidRPr="00424F80" w:rsidSect="00B94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65" w:left="720" w:header="52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112E" w14:textId="77777777" w:rsidR="00071D46" w:rsidRDefault="00071D46">
      <w:pPr>
        <w:spacing w:after="0"/>
      </w:pPr>
      <w:r>
        <w:separator/>
      </w:r>
    </w:p>
  </w:endnote>
  <w:endnote w:type="continuationSeparator" w:id="0">
    <w:p w14:paraId="3AFDC6EB" w14:textId="77777777" w:rsidR="00071D46" w:rsidRDefault="00071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FBCD" w14:textId="77777777" w:rsidR="00F818C1" w:rsidRDefault="00F818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F2B6" w14:textId="6C2964AE" w:rsidR="00000000" w:rsidRPr="00760FE5" w:rsidRDefault="00760FE5" w:rsidP="00760FE5">
    <w:pPr>
      <w:pStyle w:val="Pieddepage"/>
      <w:ind w:firstLine="4254"/>
      <w:jc w:val="center"/>
      <w:rPr>
        <w:rFonts w:ascii="Verdana" w:hAnsi="Verdana"/>
        <w:sz w:val="16"/>
        <w:szCs w:val="16"/>
      </w:rPr>
    </w:pPr>
    <w:r w:rsidRPr="00760FE5">
      <w:rPr>
        <w:rFonts w:ascii="Verdana" w:hAnsi="Verdana"/>
        <w:noProof/>
        <w:color w:val="008582"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357032" wp14:editId="231DF0DA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5EFEBD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Pr="00760FE5">
      <w:rPr>
        <w:rFonts w:ascii="Verdana" w:hAnsi="Verdana"/>
        <w:noProof/>
        <w:color w:val="008582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A7FF" wp14:editId="7712C27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5BA5CF7" w14:textId="77777777" w:rsidR="00760FE5" w:rsidRDefault="00760FE5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EADA7FF"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&#13;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25BA5CF7" w14:textId="77777777" w:rsidR="00760FE5" w:rsidRDefault="00760FE5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rFonts w:ascii="Verdana" w:hAnsi="Verdana"/>
        <w:color w:val="008582"/>
        <w:sz w:val="16"/>
        <w:szCs w:val="16"/>
      </w:rPr>
      <w:t xml:space="preserve">        </w:t>
    </w:r>
    <w:r w:rsidRPr="00760FE5">
      <w:rPr>
        <w:rFonts w:ascii="Verdana" w:hAnsi="Verdana"/>
        <w:color w:val="008582"/>
        <w:sz w:val="16"/>
        <w:szCs w:val="16"/>
      </w:rPr>
      <w:t xml:space="preserve">Affichage Honoraires CD conventionné/URPS </w:t>
    </w:r>
    <w:proofErr w:type="spellStart"/>
    <w:r w:rsidR="00424F80">
      <w:rPr>
        <w:rFonts w:ascii="Verdana" w:hAnsi="Verdana"/>
        <w:color w:val="008582"/>
        <w:sz w:val="16"/>
        <w:szCs w:val="16"/>
      </w:rPr>
      <w:t>ChD</w:t>
    </w:r>
    <w:proofErr w:type="spellEnd"/>
    <w:r w:rsidR="00424F80">
      <w:rPr>
        <w:rFonts w:ascii="Verdana" w:hAnsi="Verdana"/>
        <w:color w:val="008582"/>
        <w:sz w:val="16"/>
        <w:szCs w:val="16"/>
      </w:rPr>
      <w:t xml:space="preserve"> PACA –</w:t>
    </w:r>
    <w:r w:rsidRPr="00760FE5">
      <w:rPr>
        <w:rFonts w:ascii="Verdana" w:hAnsi="Verdana"/>
        <w:color w:val="008582"/>
        <w:sz w:val="16"/>
        <w:szCs w:val="16"/>
      </w:rPr>
      <w:t xml:space="preserve"> </w:t>
    </w:r>
    <w:r w:rsidR="00424F80">
      <w:rPr>
        <w:rFonts w:ascii="Verdana" w:hAnsi="Verdana"/>
        <w:color w:val="008582"/>
        <w:sz w:val="16"/>
        <w:szCs w:val="16"/>
      </w:rPr>
      <w:t>J</w:t>
    </w:r>
    <w:r w:rsidR="00F818C1">
      <w:rPr>
        <w:rFonts w:ascii="Verdana" w:hAnsi="Verdana"/>
        <w:color w:val="008582"/>
        <w:sz w:val="16"/>
        <w:szCs w:val="16"/>
      </w:rPr>
      <w:t>uillet</w:t>
    </w:r>
    <w:r w:rsidR="00424F80">
      <w:rPr>
        <w:rFonts w:ascii="Verdana" w:hAnsi="Verdana"/>
        <w:color w:val="008582"/>
        <w:sz w:val="16"/>
        <w:szCs w:val="16"/>
      </w:rPr>
      <w:t xml:space="preserve"> </w:t>
    </w:r>
    <w:r w:rsidRPr="00760FE5">
      <w:rPr>
        <w:rFonts w:ascii="Verdana" w:hAnsi="Verdana"/>
        <w:color w:val="008582"/>
        <w:sz w:val="16"/>
        <w:szCs w:val="16"/>
      </w:rPr>
      <w:t>202</w:t>
    </w:r>
    <w:r w:rsidR="00F818C1">
      <w:rPr>
        <w:rFonts w:ascii="Verdana" w:hAnsi="Verdana"/>
        <w:color w:val="008582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F6E2" w14:textId="77777777" w:rsidR="00F818C1" w:rsidRDefault="00F818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2F5D" w14:textId="77777777" w:rsidR="00071D46" w:rsidRDefault="00071D4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078818" w14:textId="77777777" w:rsidR="00071D46" w:rsidRDefault="00071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3CB1" w14:textId="77777777" w:rsidR="00F818C1" w:rsidRDefault="00F818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F867" w14:textId="263FB31F" w:rsidR="003A267C" w:rsidRDefault="003A267C" w:rsidP="003A267C">
    <w:pPr>
      <w:pStyle w:val="En-tte"/>
      <w:jc w:val="center"/>
    </w:pPr>
    <w:r>
      <w:rPr>
        <w:rFonts w:ascii="Verdana" w:hAnsi="Verdana"/>
        <w:noProof/>
        <w:color w:val="279097"/>
        <w:sz w:val="32"/>
        <w:szCs w:val="32"/>
      </w:rPr>
      <w:drawing>
        <wp:inline distT="0" distB="0" distL="0" distR="0" wp14:anchorId="74C78220" wp14:editId="2117A23C">
          <wp:extent cx="2425700" cy="784772"/>
          <wp:effectExtent l="0" t="0" r="0" b="3175"/>
          <wp:docPr id="49305924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60610" name="Image 1265260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50" cy="80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4A1C" w14:textId="77777777" w:rsidR="00F818C1" w:rsidRDefault="00F818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D99"/>
    <w:multiLevelType w:val="multilevel"/>
    <w:tmpl w:val="48B60182"/>
    <w:styleLink w:val="WWNum18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EFA4C23"/>
    <w:multiLevelType w:val="multilevel"/>
    <w:tmpl w:val="576E9D3C"/>
    <w:styleLink w:val="WWNum15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"/>
      <w:lvlJc w:val="left"/>
      <w:pPr>
        <w:ind w:left="72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F1F5778"/>
    <w:multiLevelType w:val="multilevel"/>
    <w:tmpl w:val="CAA6B99E"/>
    <w:styleLink w:val="WWNum8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20A505A"/>
    <w:multiLevelType w:val="multilevel"/>
    <w:tmpl w:val="8746281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C577754"/>
    <w:multiLevelType w:val="multilevel"/>
    <w:tmpl w:val="53C03FB0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E3A53F1"/>
    <w:multiLevelType w:val="multilevel"/>
    <w:tmpl w:val="FCC48F6C"/>
    <w:styleLink w:val="WWNum1"/>
    <w:lvl w:ilvl="0">
      <w:numFmt w:val="bullet"/>
      <w:lvlText w:val="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475CFF"/>
    <w:multiLevelType w:val="multilevel"/>
    <w:tmpl w:val="FE0EED78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82B2BA4"/>
    <w:multiLevelType w:val="multilevel"/>
    <w:tmpl w:val="F2C64BE2"/>
    <w:styleLink w:val="WWNum9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D7E72A9"/>
    <w:multiLevelType w:val="multilevel"/>
    <w:tmpl w:val="1DB2BCB8"/>
    <w:styleLink w:val="WWNum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AE2E35"/>
    <w:multiLevelType w:val="multilevel"/>
    <w:tmpl w:val="C5086C56"/>
    <w:styleLink w:val="WWNum5"/>
    <w:lvl w:ilvl="0">
      <w:numFmt w:val="bullet"/>
      <w:lvlText w:val="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39CC074F"/>
    <w:multiLevelType w:val="multilevel"/>
    <w:tmpl w:val="29505734"/>
    <w:styleLink w:val="WWNum16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2044568"/>
    <w:multiLevelType w:val="multilevel"/>
    <w:tmpl w:val="C96CDFF0"/>
    <w:styleLink w:val="WWNum6"/>
    <w:lvl w:ilvl="0">
      <w:numFmt w:val="bullet"/>
      <w:lvlText w:val="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2" w15:restartNumberingAfterBreak="0">
    <w:nsid w:val="45690B70"/>
    <w:multiLevelType w:val="multilevel"/>
    <w:tmpl w:val="F1166B4E"/>
    <w:styleLink w:val="WWNum7"/>
    <w:lvl w:ilvl="0">
      <w:numFmt w:val="bullet"/>
      <w:lvlText w:val="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3" w15:restartNumberingAfterBreak="0">
    <w:nsid w:val="4AD63D38"/>
    <w:multiLevelType w:val="multilevel"/>
    <w:tmpl w:val="ADD44C36"/>
    <w:styleLink w:val="WWNum11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4E09747C"/>
    <w:multiLevelType w:val="multilevel"/>
    <w:tmpl w:val="2D7098C4"/>
    <w:styleLink w:val="WWNum1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4E7805D4"/>
    <w:multiLevelType w:val="multilevel"/>
    <w:tmpl w:val="947AA16E"/>
    <w:styleLink w:val="WWNum21"/>
    <w:lvl w:ilvl="0">
      <w:numFmt w:val="bullet"/>
      <w:lvlText w:val="-"/>
      <w:lvlJc w:val="left"/>
      <w:pPr>
        <w:ind w:left="1778" w:hanging="360"/>
      </w:pPr>
    </w:lvl>
    <w:lvl w:ilvl="1">
      <w:numFmt w:val="bullet"/>
      <w:lvlText w:val="o"/>
      <w:lvlJc w:val="left"/>
      <w:pPr>
        <w:ind w:left="2498" w:hanging="360"/>
      </w:pPr>
      <w:rPr>
        <w:rFonts w:cs="Courier New"/>
      </w:rPr>
    </w:lvl>
    <w:lvl w:ilvl="2">
      <w:numFmt w:val="bullet"/>
      <w:lvlText w:val=""/>
      <w:lvlJc w:val="left"/>
      <w:pPr>
        <w:ind w:left="3218" w:hanging="360"/>
      </w:pPr>
    </w:lvl>
    <w:lvl w:ilvl="3">
      <w:numFmt w:val="bullet"/>
      <w:lvlText w:val=""/>
      <w:lvlJc w:val="left"/>
      <w:pPr>
        <w:ind w:left="3938" w:hanging="360"/>
      </w:pPr>
    </w:lvl>
    <w:lvl w:ilvl="4">
      <w:numFmt w:val="bullet"/>
      <w:lvlText w:val="o"/>
      <w:lvlJc w:val="left"/>
      <w:pPr>
        <w:ind w:left="4658" w:hanging="360"/>
      </w:pPr>
      <w:rPr>
        <w:rFonts w:cs="Courier New"/>
      </w:rPr>
    </w:lvl>
    <w:lvl w:ilvl="5">
      <w:numFmt w:val="bullet"/>
      <w:lvlText w:val=""/>
      <w:lvlJc w:val="left"/>
      <w:pPr>
        <w:ind w:left="5378" w:hanging="360"/>
      </w:pPr>
    </w:lvl>
    <w:lvl w:ilvl="6">
      <w:numFmt w:val="bullet"/>
      <w:lvlText w:val=""/>
      <w:lvlJc w:val="left"/>
      <w:pPr>
        <w:ind w:left="6098" w:hanging="360"/>
      </w:pPr>
    </w:lvl>
    <w:lvl w:ilvl="7">
      <w:numFmt w:val="bullet"/>
      <w:lvlText w:val="o"/>
      <w:lvlJc w:val="left"/>
      <w:pPr>
        <w:ind w:left="6818" w:hanging="360"/>
      </w:pPr>
      <w:rPr>
        <w:rFonts w:cs="Courier New"/>
      </w:rPr>
    </w:lvl>
    <w:lvl w:ilvl="8">
      <w:numFmt w:val="bullet"/>
      <w:lvlText w:val=""/>
      <w:lvlJc w:val="left"/>
      <w:pPr>
        <w:ind w:left="7538" w:hanging="360"/>
      </w:pPr>
    </w:lvl>
  </w:abstractNum>
  <w:abstractNum w:abstractNumId="16" w15:restartNumberingAfterBreak="0">
    <w:nsid w:val="553814AA"/>
    <w:multiLevelType w:val="multilevel"/>
    <w:tmpl w:val="C86EDB0A"/>
    <w:styleLink w:val="WWNum10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5DBF2DC7"/>
    <w:multiLevelType w:val="multilevel"/>
    <w:tmpl w:val="CFD6D42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F74753"/>
    <w:multiLevelType w:val="multilevel"/>
    <w:tmpl w:val="F08CC3D6"/>
    <w:styleLink w:val="WWNum13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F530B84"/>
    <w:multiLevelType w:val="hybridMultilevel"/>
    <w:tmpl w:val="CC3CB98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30A2570"/>
    <w:multiLevelType w:val="multilevel"/>
    <w:tmpl w:val="023C2F56"/>
    <w:styleLink w:val="WWNum3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D1C76ED"/>
    <w:multiLevelType w:val="multilevel"/>
    <w:tmpl w:val="61A69894"/>
    <w:styleLink w:val="WWNum17"/>
    <w:lvl w:ilvl="0">
      <w:numFmt w:val="bullet"/>
      <w:lvlText w:val=""/>
      <w:lvlJc w:val="left"/>
      <w:pPr>
        <w:ind w:left="2136" w:hanging="360"/>
      </w:pPr>
    </w:lvl>
    <w:lvl w:ilvl="1">
      <w:numFmt w:val="bullet"/>
      <w:lvlText w:val="o"/>
      <w:lvlJc w:val="left"/>
      <w:pPr>
        <w:ind w:left="2856" w:hanging="360"/>
      </w:pPr>
      <w:rPr>
        <w:rFonts w:cs="Courier New"/>
      </w:rPr>
    </w:lvl>
    <w:lvl w:ilvl="2">
      <w:numFmt w:val="bullet"/>
      <w:lvlText w:val=""/>
      <w:lvlJc w:val="left"/>
      <w:pPr>
        <w:ind w:left="3576" w:hanging="360"/>
      </w:pPr>
    </w:lvl>
    <w:lvl w:ilvl="3">
      <w:numFmt w:val="bullet"/>
      <w:lvlText w:val=""/>
      <w:lvlJc w:val="left"/>
      <w:pPr>
        <w:ind w:left="4296" w:hanging="360"/>
      </w:pPr>
    </w:lvl>
    <w:lvl w:ilvl="4">
      <w:numFmt w:val="bullet"/>
      <w:lvlText w:val="o"/>
      <w:lvlJc w:val="left"/>
      <w:pPr>
        <w:ind w:left="5016" w:hanging="360"/>
      </w:pPr>
      <w:rPr>
        <w:rFonts w:cs="Courier New"/>
      </w:rPr>
    </w:lvl>
    <w:lvl w:ilvl="5">
      <w:numFmt w:val="bullet"/>
      <w:lvlText w:val=""/>
      <w:lvlJc w:val="left"/>
      <w:pPr>
        <w:ind w:left="5736" w:hanging="360"/>
      </w:pPr>
    </w:lvl>
    <w:lvl w:ilvl="6">
      <w:numFmt w:val="bullet"/>
      <w:lvlText w:val=""/>
      <w:lvlJc w:val="left"/>
      <w:pPr>
        <w:ind w:left="6456" w:hanging="360"/>
      </w:pPr>
    </w:lvl>
    <w:lvl w:ilvl="7">
      <w:numFmt w:val="bullet"/>
      <w:lvlText w:val="o"/>
      <w:lvlJc w:val="left"/>
      <w:pPr>
        <w:ind w:left="7176" w:hanging="360"/>
      </w:pPr>
      <w:rPr>
        <w:rFonts w:cs="Courier New"/>
      </w:rPr>
    </w:lvl>
    <w:lvl w:ilvl="8">
      <w:numFmt w:val="bullet"/>
      <w:lvlText w:val=""/>
      <w:lvlJc w:val="left"/>
      <w:pPr>
        <w:ind w:left="7896" w:hanging="360"/>
      </w:pPr>
    </w:lvl>
  </w:abstractNum>
  <w:num w:numId="1" w16cid:durableId="610937470">
    <w:abstractNumId w:val="5"/>
  </w:num>
  <w:num w:numId="2" w16cid:durableId="915743763">
    <w:abstractNumId w:val="17"/>
  </w:num>
  <w:num w:numId="3" w16cid:durableId="2139758645">
    <w:abstractNumId w:val="20"/>
  </w:num>
  <w:num w:numId="4" w16cid:durableId="478814385">
    <w:abstractNumId w:val="8"/>
  </w:num>
  <w:num w:numId="5" w16cid:durableId="937130634">
    <w:abstractNumId w:val="9"/>
  </w:num>
  <w:num w:numId="6" w16cid:durableId="605886846">
    <w:abstractNumId w:val="11"/>
  </w:num>
  <w:num w:numId="7" w16cid:durableId="1176577037">
    <w:abstractNumId w:val="12"/>
  </w:num>
  <w:num w:numId="8" w16cid:durableId="1592422252">
    <w:abstractNumId w:val="2"/>
  </w:num>
  <w:num w:numId="9" w16cid:durableId="1547789644">
    <w:abstractNumId w:val="7"/>
  </w:num>
  <w:num w:numId="10" w16cid:durableId="1895390317">
    <w:abstractNumId w:val="16"/>
  </w:num>
  <w:num w:numId="11" w16cid:durableId="1693803226">
    <w:abstractNumId w:val="13"/>
  </w:num>
  <w:num w:numId="12" w16cid:durableId="1252353940">
    <w:abstractNumId w:val="6"/>
  </w:num>
  <w:num w:numId="13" w16cid:durableId="652951750">
    <w:abstractNumId w:val="18"/>
  </w:num>
  <w:num w:numId="14" w16cid:durableId="1209149709">
    <w:abstractNumId w:val="14"/>
  </w:num>
  <w:num w:numId="15" w16cid:durableId="548612654">
    <w:abstractNumId w:val="1"/>
  </w:num>
  <w:num w:numId="16" w16cid:durableId="627248759">
    <w:abstractNumId w:val="10"/>
  </w:num>
  <w:num w:numId="17" w16cid:durableId="1114399017">
    <w:abstractNumId w:val="21"/>
  </w:num>
  <w:num w:numId="18" w16cid:durableId="1436514657">
    <w:abstractNumId w:val="0"/>
  </w:num>
  <w:num w:numId="19" w16cid:durableId="1706980383">
    <w:abstractNumId w:val="3"/>
  </w:num>
  <w:num w:numId="20" w16cid:durableId="1583953187">
    <w:abstractNumId w:val="4"/>
  </w:num>
  <w:num w:numId="21" w16cid:durableId="390079351">
    <w:abstractNumId w:val="15"/>
  </w:num>
  <w:num w:numId="22" w16cid:durableId="2121104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02"/>
    <w:rsid w:val="00061DDF"/>
    <w:rsid w:val="00071D46"/>
    <w:rsid w:val="001A2EBD"/>
    <w:rsid w:val="002E29B0"/>
    <w:rsid w:val="00311302"/>
    <w:rsid w:val="003A267C"/>
    <w:rsid w:val="004119E1"/>
    <w:rsid w:val="00424F80"/>
    <w:rsid w:val="00431CF9"/>
    <w:rsid w:val="0048121B"/>
    <w:rsid w:val="00530054"/>
    <w:rsid w:val="00587316"/>
    <w:rsid w:val="00641974"/>
    <w:rsid w:val="006840CB"/>
    <w:rsid w:val="00760FE5"/>
    <w:rsid w:val="00821F1A"/>
    <w:rsid w:val="00874444"/>
    <w:rsid w:val="00963BF8"/>
    <w:rsid w:val="00A924E6"/>
    <w:rsid w:val="00A961BF"/>
    <w:rsid w:val="00B94B33"/>
    <w:rsid w:val="00D128BB"/>
    <w:rsid w:val="00E62275"/>
    <w:rsid w:val="00F10950"/>
    <w:rsid w:val="00F317F1"/>
    <w:rsid w:val="00F73D1C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57B32"/>
  <w15:docId w15:val="{37F7B073-8959-4EB3-A517-67A6915C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jsgrdq">
    <w:name w:val="jsgrdq"/>
    <w:basedOn w:val="Policepardfau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character" w:styleId="Accentuatio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paragraph" w:customStyle="1" w:styleId="TableParagraph">
    <w:name w:val="Table Paragraph"/>
    <w:basedOn w:val="Standard"/>
    <w:rsid w:val="00B94B33"/>
    <w:pPr>
      <w:widowControl w:val="0"/>
      <w:spacing w:after="0"/>
    </w:pPr>
    <w:rPr>
      <w:rFonts w:ascii="Tahoma" w:eastAsia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amelie cherbonneau</dc:creator>
  <cp:lastModifiedBy>tolila gerard</cp:lastModifiedBy>
  <cp:revision>2</cp:revision>
  <dcterms:created xsi:type="dcterms:W3CDTF">2025-07-05T13:07:00Z</dcterms:created>
  <dcterms:modified xsi:type="dcterms:W3CDTF">2025-07-05T13:07:00Z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